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04664" wp14:editId="02C936AF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2D24F0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</w:t>
            </w:r>
          </w:p>
          <w:p w:rsidR="0083440E" w:rsidRPr="002D24F0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ОБРАЗОВАТЕЛЬНОЕ УЧРЕЖДЕНИЕ ВЫСШЕГО ОБРАЗОВАНИЯ</w:t>
            </w:r>
          </w:p>
          <w:p w:rsidR="0083440E" w:rsidRPr="002D24F0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="00FA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F02BBD" w:rsidRPr="0083440E" w:rsidRDefault="00FA179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«Технология цифрового образования: Логопедия</w:t>
            </w:r>
            <w:r w:rsidR="00F02BBD"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F02BBD" w:rsidRPr="0083440E" w:rsidRDefault="00FA179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«Специальное (дефектологическое) образование</w:t>
            </w:r>
            <w:r w:rsidR="00F02BBD"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A179A" w:rsidRPr="0083440E" w:rsidRDefault="00FA179A" w:rsidP="00FA179A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179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44.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03.03.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Специальное (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дефектологическое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) образование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FA179A" w:rsidRPr="0083440E" w:rsidRDefault="00FA179A" w:rsidP="00FA179A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A179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«Логопедия»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направление подготовки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профиль образовательной программы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F02B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422730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4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83440E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F02BBD" w:rsidRPr="0083440E" w:rsidRDefault="00F02BBD" w:rsidP="00F02BBD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«</w:t>
      </w:r>
      <w:r w:rsidR="00422730" w:rsidRPr="00422730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Дефектология и инклюзивное образование</w:t>
      </w:r>
      <w:r w:rsidRPr="00422730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»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протокол № 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 от «_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21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__» __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 20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F02BBD" w:rsidRPr="0083440E" w:rsidRDefault="00422730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22730">
        <w:rPr>
          <w:rFonts w:ascii="Times New Roman" w:eastAsia="Times New Roman" w:hAnsi="Times New Roman" w:cs="Times New Roman"/>
          <w:i/>
          <w:color w:val="000000" w:themeColor="text1"/>
          <w:sz w:val="28"/>
          <w:lang w:eastAsia="ru-RU"/>
        </w:rPr>
        <w:t xml:space="preserve">Кандидат педагогических наук, доцент </w:t>
      </w:r>
      <w:r w:rsidR="00F02BBD" w:rsidRPr="00422730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  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С,А.Дудникова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И.О.Ф.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8344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</w:t>
      </w:r>
      <w:proofErr w:type="spellStart"/>
      <w:proofErr w:type="gramStart"/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М.Л.Скуратовская</w:t>
      </w:r>
      <w:proofErr w:type="spellEnd"/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И.О.Ф.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реализацию ОПОП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8344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______</w:t>
      </w:r>
      <w:proofErr w:type="spellStart"/>
      <w:proofErr w:type="gramStart"/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О.Д.Федотова</w:t>
      </w:r>
      <w:proofErr w:type="spellEnd"/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И.О.Ф.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научно-методическ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ого совета по УГН (С) 44.03.03 «Специальное (дефектологическое) образование»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 от «_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__» ___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 20_</w:t>
      </w:r>
      <w:r w:rsidR="004227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3317D" w:rsidRDefault="0003317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:rsidR="0003317D" w:rsidRDefault="0003317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t>1. Паспорт компетенций, формируемых в результате освоен</w:t>
      </w:r>
      <w:r w:rsidR="00B55571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t>ия дисциплины «Технология цифрового образования: Логопедия»</w:t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380C0E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380C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F02BBD" w:rsidRPr="0083440E" w:rsidTr="00773CEC">
        <w:trPr>
          <w:trHeight w:hRule="exact" w:val="6672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Индек</w:t>
            </w:r>
            <w:r w:rsid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 и наименование компетенции </w:t>
            </w:r>
          </w:p>
          <w:p w:rsidR="00CD6EEB" w:rsidRPr="0083440E" w:rsidRDefault="00CD6EEB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>ОПК-9: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Индекс и наименование </w:t>
            </w:r>
            <w:r w:rsidR="008C70DA">
              <w:rPr>
                <w:rFonts w:ascii="Times New Roman" w:eastAsiaTheme="minorEastAsia" w:hAnsi="Times New Roman" w:cs="Times New Roman"/>
                <w:sz w:val="24"/>
                <w:szCs w:val="24"/>
              </w:rPr>
              <w:t>индикатора ОПК-9</w:t>
            </w:r>
          </w:p>
          <w:p w:rsidR="00613036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</w:t>
            </w:r>
            <w:r w:rsid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>я индикатора компетенцииОПК-9.1.</w:t>
            </w:r>
          </w:p>
          <w:p w:rsidR="00F02BBD" w:rsidRPr="0083440E" w:rsidRDefault="00613036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Знать:</w:t>
            </w:r>
            <w:r w:rsid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D6EEB" w:rsidRP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принципы работы современных информационных технологий и использовать их для решения задач профессиональной деятельности, особенности цифровых технологии, цифровой образовательной среды, цифровые ресурсы в образовании. цифровые процессы оценки знаний, цифровые технологии организации учебного процесса, обучения, цифровой контент, цифровые тех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нологии взаимодействия логопеда</w:t>
            </w:r>
            <w:r w:rsidR="00CD6EEB" w:rsidRPr="00CD6EEB">
              <w:rPr>
                <w:rFonts w:ascii="Times New Roman" w:eastAsiaTheme="minorEastAsia" w:hAnsi="Times New Roman" w:cs="Times New Roman"/>
                <w:sz w:val="24"/>
                <w:szCs w:val="24"/>
              </w:rPr>
              <w:t>, ребенка, родителей</w:t>
            </w:r>
          </w:p>
          <w:p w:rsidR="00773CEC" w:rsidRDefault="00F02BBD" w:rsidP="00380C0E">
            <w:pPr>
              <w:spacing w:after="0" w:line="240" w:lineRule="auto"/>
              <w:ind w:firstLine="567"/>
              <w:jc w:val="both"/>
            </w:pP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</w:t>
            </w:r>
            <w:r w:rsidR="00C540A2">
              <w:rPr>
                <w:rFonts w:ascii="Times New Roman" w:eastAsiaTheme="minorEastAsia" w:hAnsi="Times New Roman" w:cs="Times New Roman"/>
                <w:sz w:val="24"/>
                <w:szCs w:val="24"/>
              </w:rPr>
              <w:t>ень освоения компетенции ОПК-9.2</w:t>
            </w:r>
            <w:r w:rsidR="00705CCF">
              <w:t xml:space="preserve"> </w:t>
            </w:r>
          </w:p>
          <w:p w:rsidR="00F02BBD" w:rsidRPr="0083440E" w:rsidRDefault="00705CCF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05CC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Применять принципы работы современных информационных технологий в решении задач профессиональной деятельности, использовать цифровые технологии в деятельности логопеда, цифровую образовательную среду, цифровые ресурсы в образовании. цифровые процессы оценки знаний, цифровые технологии организации учебного процесса, обучения, цифровой контент, цифровые тех</w:t>
            </w:r>
            <w:r w:rsidR="00820532">
              <w:rPr>
                <w:rFonts w:ascii="Times New Roman" w:eastAsiaTheme="minorEastAsia" w:hAnsi="Times New Roman" w:cs="Times New Roman"/>
                <w:sz w:val="24"/>
                <w:szCs w:val="24"/>
              </w:rPr>
              <w:t>нологии взаимодействия логопеда</w:t>
            </w:r>
            <w:r w:rsidRPr="00705CCF">
              <w:rPr>
                <w:rFonts w:ascii="Times New Roman" w:eastAsiaTheme="minorEastAsia" w:hAnsi="Times New Roman" w:cs="Times New Roman"/>
                <w:sz w:val="24"/>
                <w:szCs w:val="24"/>
              </w:rPr>
              <w:t>, ребенка, родителей</w:t>
            </w:r>
          </w:p>
          <w:p w:rsidR="00773CEC" w:rsidRDefault="00F02BBD" w:rsidP="00380C0E">
            <w:pPr>
              <w:spacing w:after="0" w:line="240" w:lineRule="auto"/>
              <w:ind w:firstLine="567"/>
              <w:jc w:val="both"/>
            </w:pP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</w:t>
            </w:r>
            <w:r w:rsidR="00C540A2">
              <w:rPr>
                <w:rFonts w:ascii="Times New Roman" w:eastAsiaTheme="minorEastAsia" w:hAnsi="Times New Roman" w:cs="Times New Roman"/>
                <w:sz w:val="24"/>
                <w:szCs w:val="24"/>
              </w:rPr>
              <w:t>ень освоения компетенции ОПК-9.3</w:t>
            </w:r>
            <w:r w:rsidR="001B5344">
              <w:t xml:space="preserve"> </w:t>
            </w:r>
          </w:p>
          <w:p w:rsidR="00F02BBD" w:rsidRPr="0083440E" w:rsidRDefault="00773CEC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="001B5344" w:rsidRPr="001B5344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спользовать принципы работы совреме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нных информационных технологий </w:t>
            </w:r>
            <w:r w:rsidR="001B5344" w:rsidRPr="001B5344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решения задач профессионал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ьной деятельности, использовать </w:t>
            </w:r>
            <w:r w:rsidR="001B5344" w:rsidRPr="001B534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цифровые технологии в деятельности логопеда, создавать цифровую образовательную </w:t>
            </w:r>
            <w:proofErr w:type="gramStart"/>
            <w:r w:rsidR="001B5344" w:rsidRPr="001B5344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среду,  использовать</w:t>
            </w:r>
            <w:proofErr w:type="gramEnd"/>
            <w:r w:rsidR="001B5344" w:rsidRPr="001B534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цифровые ресурсы в образовании в логопедической работе. применять цифровые процессы оценки знаний, цифровые технологии организации учебного процесса, обучения, цифровой контент, цифровые технологии взаимодействия логопеда , ребенка, родителей</w:t>
            </w:r>
          </w:p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02BBD" w:rsidRPr="0083440E" w:rsidRDefault="00F02BBD" w:rsidP="00F02BBD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49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701"/>
        <w:gridCol w:w="1418"/>
        <w:gridCol w:w="1274"/>
        <w:gridCol w:w="1276"/>
      </w:tblGrid>
      <w:tr w:rsidR="00F02BBD" w:rsidRPr="0083440E" w:rsidTr="00F35D5E">
        <w:trPr>
          <w:trHeight w:val="20"/>
          <w:tblHeader/>
        </w:trPr>
        <w:tc>
          <w:tcPr>
            <w:tcW w:w="425" w:type="dxa"/>
          </w:tcPr>
          <w:p w:rsidR="00F02BBD" w:rsidRPr="0083440E" w:rsidRDefault="00F02BBD" w:rsidP="00380C0E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3402" w:type="dxa"/>
          </w:tcPr>
          <w:p w:rsidR="00F02BBD" w:rsidRPr="0083440E" w:rsidRDefault="00F02BBD" w:rsidP="00380C0E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701" w:type="dxa"/>
          </w:tcPr>
          <w:p w:rsidR="00F02BBD" w:rsidRPr="0083440E" w:rsidRDefault="00F02BBD" w:rsidP="00380C0E">
            <w:pPr>
              <w:spacing w:after="0" w:line="272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учебных занятий, работы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1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2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02BBD" w:rsidRPr="0083440E" w:rsidRDefault="00F02BBD" w:rsidP="00380C0E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74" w:type="dxa"/>
          </w:tcPr>
          <w:p w:rsidR="00F02BBD" w:rsidRPr="0083440E" w:rsidRDefault="00F02BBD" w:rsidP="00380C0E">
            <w:pPr>
              <w:spacing w:after="0"/>
              <w:ind w:right="59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F02BBD" w:rsidRPr="0083440E" w:rsidRDefault="00F02BBD" w:rsidP="00380C0E">
            <w:pPr>
              <w:spacing w:after="0" w:line="238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F02BBD" w:rsidRPr="0083440E" w:rsidRDefault="00F02BBD" w:rsidP="00380C0E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276" w:type="dxa"/>
          </w:tcPr>
          <w:p w:rsidR="00F02BBD" w:rsidRPr="0083440E" w:rsidRDefault="00F02BBD" w:rsidP="00380C0E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оценивания компетенций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4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211B0" w:rsidRPr="0083440E" w:rsidTr="00F35D5E">
        <w:trPr>
          <w:trHeight w:val="20"/>
        </w:trPr>
        <w:tc>
          <w:tcPr>
            <w:tcW w:w="425" w:type="dxa"/>
          </w:tcPr>
          <w:p w:rsidR="00C211B0" w:rsidRPr="0083440E" w:rsidRDefault="00C211B0" w:rsidP="00C211B0">
            <w:pPr>
              <w:spacing w:after="0"/>
              <w:ind w:right="55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К-9.1</w:t>
            </w:r>
          </w:p>
        </w:tc>
        <w:tc>
          <w:tcPr>
            <w:tcW w:w="3402" w:type="dxa"/>
          </w:tcPr>
          <w:p w:rsidR="00C211B0" w:rsidRPr="00F35D5E" w:rsidRDefault="00C211B0" w:rsidP="00C211B0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принципы работы современных информационных </w:t>
            </w:r>
            <w:r w:rsidRPr="00F3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технологий и использовать их для решения задач профессиональной деятельности, особенности цифровых технологии, цифровой образовательной среды, цифровые ресурсы в образовании. цифровые процессы оценки знаний, цифровые технологии организации учебного процесса, обучения, цифровой контент, цифровые технологии взаимодействия </w:t>
            </w:r>
            <w:proofErr w:type="gramStart"/>
            <w:r w:rsidRPr="00F3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логопеда ,</w:t>
            </w:r>
            <w:proofErr w:type="gramEnd"/>
            <w:r w:rsidRPr="00F3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ребенка, родителей</w:t>
            </w:r>
          </w:p>
        </w:tc>
        <w:tc>
          <w:tcPr>
            <w:tcW w:w="1701" w:type="dxa"/>
          </w:tcPr>
          <w:p w:rsidR="00C211B0" w:rsidRPr="0083440E" w:rsidRDefault="00C211B0" w:rsidP="00C211B0">
            <w:pPr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Лекции. </w:t>
            </w:r>
            <w:r w:rsidRPr="00E50861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r w:rsidRPr="00E50861">
              <w:rPr>
                <w:rFonts w:ascii="Times New Roman" w:hAnsi="Times New Roman"/>
                <w:sz w:val="24"/>
                <w:szCs w:val="24"/>
              </w:rPr>
              <w:lastRenderedPageBreak/>
              <w:t>занятия, самостоятельная работа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C211B0" w:rsidRDefault="00C211B0" w:rsidP="00C211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1.1-1.3</w:t>
            </w:r>
            <w:r w:rsidRPr="00E5086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211B0" w:rsidRPr="0083440E" w:rsidRDefault="00C211B0" w:rsidP="00C211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2.1-2.4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274" w:type="dxa"/>
          </w:tcPr>
          <w:p w:rsidR="00C211B0" w:rsidRPr="0083440E" w:rsidRDefault="00C211B0" w:rsidP="00C211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3F97">
              <w:rPr>
                <w:rFonts w:ascii="Times New Roman" w:hAnsi="Times New Roman"/>
                <w:sz w:val="24"/>
                <w:szCs w:val="24"/>
              </w:rPr>
              <w:t xml:space="preserve">Контрольные </w:t>
            </w:r>
            <w:r w:rsidRPr="005C3F97"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F6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ефераты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C211B0" w:rsidRPr="005C3F97" w:rsidRDefault="00C211B0" w:rsidP="00C21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97">
              <w:rPr>
                <w:rFonts w:ascii="Times New Roman" w:hAnsi="Times New Roman"/>
                <w:sz w:val="24"/>
                <w:szCs w:val="24"/>
              </w:rPr>
              <w:lastRenderedPageBreak/>
              <w:t>Ответы на контрольн</w:t>
            </w:r>
            <w:r w:rsidRPr="005C3F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ые вопросы 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зачета</w:t>
            </w:r>
            <w:r w:rsidRPr="005C3F9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211B0" w:rsidRPr="0083440E" w:rsidRDefault="00C211B0" w:rsidP="00C211B0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C211B0" w:rsidRPr="0083440E" w:rsidTr="004B571B">
        <w:trPr>
          <w:trHeight w:val="20"/>
        </w:trPr>
        <w:tc>
          <w:tcPr>
            <w:tcW w:w="425" w:type="dxa"/>
          </w:tcPr>
          <w:p w:rsidR="00C211B0" w:rsidRDefault="00C211B0" w:rsidP="00C211B0">
            <w:pPr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КОПК-9.2</w:t>
            </w:r>
          </w:p>
          <w:p w:rsidR="00C211B0" w:rsidRPr="0083440E" w:rsidRDefault="00C211B0" w:rsidP="00C211B0">
            <w:pPr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</w:t>
            </w:r>
          </w:p>
        </w:tc>
        <w:tc>
          <w:tcPr>
            <w:tcW w:w="3402" w:type="dxa"/>
          </w:tcPr>
          <w:p w:rsidR="00C211B0" w:rsidRPr="00705CCF" w:rsidRDefault="00C211B0" w:rsidP="00C211B0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</w:t>
            </w:r>
            <w:r w:rsidRPr="00705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рименять принципы работы современных информационных технологий в решении задач профессиональной деятельности, использовать цифровые технологии в деятельности логопеда, цифровую образовательную среду, цифровые ресурсы в образовании. цифровые процессы оценки знаний, цифровые технологии организации учебного процесса, обучения, цифровой контент, цифровые технологии взаимодействия </w:t>
            </w:r>
            <w:proofErr w:type="gramStart"/>
            <w:r w:rsidRPr="00705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логопеда ,</w:t>
            </w:r>
            <w:proofErr w:type="gramEnd"/>
            <w:r w:rsidRPr="00705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ребенка, родителей</w:t>
            </w:r>
          </w:p>
        </w:tc>
        <w:tc>
          <w:tcPr>
            <w:tcW w:w="1701" w:type="dxa"/>
          </w:tcPr>
          <w:p w:rsidR="00C211B0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занятия, самостоятельная работа </w:t>
            </w:r>
          </w:p>
        </w:tc>
        <w:tc>
          <w:tcPr>
            <w:tcW w:w="1418" w:type="dxa"/>
          </w:tcPr>
          <w:p w:rsidR="00C211B0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1.1.-1.5.</w:t>
            </w:r>
          </w:p>
          <w:p w:rsidR="00B31F54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2.1.-.2.4.</w:t>
            </w:r>
          </w:p>
        </w:tc>
        <w:tc>
          <w:tcPr>
            <w:tcW w:w="1274" w:type="dxa"/>
          </w:tcPr>
          <w:p w:rsidR="00C211B0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тестирование</w:t>
            </w:r>
            <w:proofErr w:type="gramEnd"/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B31F54" w:rsidRPr="005C3F97" w:rsidRDefault="00B31F54" w:rsidP="00B31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97">
              <w:rPr>
                <w:rFonts w:ascii="Times New Roman" w:hAnsi="Times New Roman"/>
                <w:sz w:val="24"/>
                <w:szCs w:val="24"/>
              </w:rPr>
              <w:t xml:space="preserve">Ответы на контрольные вопросы 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зачета</w:t>
            </w:r>
            <w:r w:rsidRPr="005C3F9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211B0" w:rsidRPr="0083440E" w:rsidRDefault="00C211B0" w:rsidP="00C211B0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B31F54" w:rsidRPr="0083440E" w:rsidTr="004B571B">
        <w:trPr>
          <w:trHeight w:val="20"/>
        </w:trPr>
        <w:tc>
          <w:tcPr>
            <w:tcW w:w="425" w:type="dxa"/>
          </w:tcPr>
          <w:p w:rsidR="00B31F54" w:rsidRPr="0083440E" w:rsidRDefault="00B31F54" w:rsidP="00B31F54">
            <w:pPr>
              <w:spacing w:after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КОПК-9.3.</w:t>
            </w:r>
          </w:p>
        </w:tc>
        <w:tc>
          <w:tcPr>
            <w:tcW w:w="3402" w:type="dxa"/>
          </w:tcPr>
          <w:p w:rsidR="00B31F54" w:rsidRPr="00FE1D57" w:rsidRDefault="00B31F54" w:rsidP="00B31F54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принципы работы современных информационных </w:t>
            </w:r>
            <w:proofErr w:type="gramStart"/>
            <w:r w:rsidRPr="00FE1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технологий  для</w:t>
            </w:r>
            <w:proofErr w:type="gramEnd"/>
            <w:r w:rsidRPr="00FE1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задач профессиональной деятельности, использовать цифровые технологии в деятельности логопеда, создавать цифровую образовательную среду,  использовать цифровые ресурсы в образовании в логопедической работе. применять цифровые процессы оценки знаний, цифровые технологии организации учебного процесса, обучения, цифровой контент, цифровые технологии взаимодействия логопеда , ребенка, родителей</w:t>
            </w:r>
          </w:p>
        </w:tc>
        <w:tc>
          <w:tcPr>
            <w:tcW w:w="1701" w:type="dxa"/>
          </w:tcPr>
          <w:p w:rsidR="00B31F54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занятия, самостоятельная работа </w:t>
            </w:r>
          </w:p>
        </w:tc>
        <w:tc>
          <w:tcPr>
            <w:tcW w:w="1418" w:type="dxa"/>
          </w:tcPr>
          <w:p w:rsidR="00B31F54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1.1.-1.5.</w:t>
            </w:r>
          </w:p>
          <w:p w:rsidR="00B31F54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2.1.-.2.4.</w:t>
            </w:r>
          </w:p>
        </w:tc>
        <w:tc>
          <w:tcPr>
            <w:tcW w:w="1274" w:type="dxa"/>
          </w:tcPr>
          <w:p w:rsidR="00B31F54" w:rsidRPr="00B31F54" w:rsidRDefault="00B31F54" w:rsidP="00B31F54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тестирование</w:t>
            </w:r>
            <w:proofErr w:type="gramEnd"/>
            <w:r w:rsidRPr="00B3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B31F54" w:rsidRPr="005C3F97" w:rsidRDefault="00B31F54" w:rsidP="00B31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F97">
              <w:rPr>
                <w:rFonts w:ascii="Times New Roman" w:hAnsi="Times New Roman"/>
                <w:sz w:val="24"/>
                <w:szCs w:val="24"/>
              </w:rPr>
              <w:t xml:space="preserve">Ответы на контрольные вопросы 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зачета</w:t>
            </w:r>
            <w:r w:rsidRPr="005C3F9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1F54" w:rsidRPr="0083440E" w:rsidRDefault="00B31F54" w:rsidP="00B31F54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F02BBD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F02BBD" w:rsidRPr="003E70A9" w:rsidRDefault="00F02BBD" w:rsidP="003E70A9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  <w:r w:rsidR="003E70A9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t>«Технология цифрового образования: Логопедия»</w:t>
      </w:r>
    </w:p>
    <w:p w:rsidR="00F02BBD" w:rsidRPr="003E70A9" w:rsidRDefault="00F02BBD" w:rsidP="003E70A9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результатов обучения по дисциплине</w:t>
      </w:r>
      <w:r w:rsid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0A9" w:rsidRPr="003E70A9">
        <w:rPr>
          <w:rFonts w:ascii="Times New Roman" w:eastAsiaTheme="minorEastAsia" w:hAnsi="Times New Roman" w:cs="Times New Roman"/>
          <w:color w:val="000000"/>
          <w:sz w:val="28"/>
          <w:szCs w:val="24"/>
        </w:rPr>
        <w:t>«Технология цифрового образования: Логопедия»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дисциплины); диагностическое дисциплинарное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3E70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790077" w:rsidRPr="003E70A9" w:rsidRDefault="00F02BBD" w:rsidP="003E70A9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дисциплине </w:t>
      </w:r>
      <w:r w:rsidRP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E70A9" w:rsidRPr="003E70A9">
        <w:rPr>
          <w:rFonts w:ascii="Times New Roman" w:eastAsiaTheme="minorEastAsia" w:hAnsi="Times New Roman" w:cs="Times New Roman"/>
          <w:color w:val="000000"/>
          <w:sz w:val="28"/>
          <w:szCs w:val="24"/>
        </w:rPr>
        <w:t>Технология цифрового образования: Логопедия»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 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зачета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2BBD" w:rsidRPr="0083440E" w:rsidRDefault="00F02BBD" w:rsidP="00F02BB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2.1. Распределение баллов по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</w:t>
      </w:r>
      <w:r w:rsidR="003E70A9" w:rsidRP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0A9"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0A9" w:rsidRP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3E70A9" w:rsidRPr="003E70A9">
        <w:rPr>
          <w:rFonts w:ascii="Times New Roman" w:eastAsiaTheme="minorEastAsia" w:hAnsi="Times New Roman" w:cs="Times New Roman"/>
          <w:color w:val="000000"/>
          <w:sz w:val="28"/>
          <w:szCs w:val="24"/>
        </w:rPr>
        <w:t>Технология цифрового образования: Логопедия»</w:t>
      </w:r>
      <w:r w:rsidR="003E70A9"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0A9" w:rsidRPr="003E7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E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очная, очно-заочная формы обучения)</w:t>
      </w:r>
      <w:r w:rsidRPr="003E7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1563"/>
        <w:gridCol w:w="1276"/>
        <w:gridCol w:w="1134"/>
        <w:gridCol w:w="709"/>
        <w:gridCol w:w="1842"/>
      </w:tblGrid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524" w:type="dxa"/>
            <w:gridSpan w:val="5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2708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 (тематический блок)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83440E" w:rsidRDefault="00E0251A" w:rsidP="00706D1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п контр. точка (</w:t>
            </w:r>
            <w:r w:rsidR="00706D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диагностическое тестирование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)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3E70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40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3E70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40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3E70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3E70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20</w:t>
            </w:r>
          </w:p>
        </w:tc>
      </w:tr>
      <w:tr w:rsidR="00F646B5" w:rsidRPr="0083440E" w:rsidTr="004A5F67">
        <w:trPr>
          <w:cantSplit/>
        </w:trPr>
        <w:tc>
          <w:tcPr>
            <w:tcW w:w="10514" w:type="dxa"/>
            <w:gridSpan w:val="6"/>
          </w:tcPr>
          <w:p w:rsidR="00F646B5" w:rsidRPr="0083440E" w:rsidRDefault="00F646B5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дисциплине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0251A" w:rsidRPr="0083440E" w:rsidTr="00607833">
        <w:trPr>
          <w:cantSplit/>
          <w:trHeight w:val="205"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дополнительных заданий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(доклад, публикация статьи)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276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134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2" w:type="dxa"/>
          </w:tcPr>
          <w:p w:rsidR="00E0251A" w:rsidRPr="0083440E" w:rsidRDefault="003E70A9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….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Итого количество баллов за контрольную точку (тематический блок)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134" w:type="dxa"/>
          </w:tcPr>
          <w:p w:rsidR="00E0251A" w:rsidRPr="0083440E" w:rsidRDefault="00F646B5" w:rsidP="00F64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F646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ko-KR"/>
              </w:rPr>
              <w:t>3</w:t>
            </w:r>
            <w:r w:rsidRPr="00F646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=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6"/>
          </w:tcPr>
          <w:p w:rsidR="00E0251A" w:rsidRPr="0083440E" w:rsidRDefault="00E0251A" w:rsidP="00607833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proofErr w:type="gram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</w:t>
            </w:r>
            <w:proofErr w:type="gram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6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proofErr w:type="gramStart"/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100 баллов)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6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Необходимо описать методику формирования результирующей оценки по дисциплине (форма проведения (устная, письменная), критерии получения оценки и др.)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Например</w:t>
            </w:r>
            <w:proofErr w:type="gramEnd"/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E0251A" w:rsidRPr="00790077" w:rsidRDefault="00E0251A" w:rsidP="00790077">
            <w:pPr>
              <w:pStyle w:val="a9"/>
              <w:numPr>
                <w:ilvl w:val="0"/>
                <w:numId w:val="38"/>
              </w:num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9007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7900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зачета</w:t>
            </w:r>
            <w:r w:rsidRPr="0079007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E0251A" w:rsidRPr="0083440E" w:rsidRDefault="00BD4B33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Зачетный билет по дисциплине </w:t>
            </w:r>
            <w:r w:rsidRPr="00BD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4B3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Технология цифрового образования: </w:t>
            </w:r>
            <w:proofErr w:type="gramStart"/>
            <w:r w:rsidRPr="00BD4B3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Логопедия»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включает</w:t>
            </w:r>
            <w:proofErr w:type="gramEnd"/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 себя </w:t>
            </w:r>
            <w:r w:rsidRP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зачет/зачет с оценкой включает в себя </w:t>
            </w:r>
            <w:r w:rsidRP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="00E0251A"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зачет </w:t>
            </w:r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составляет 100 баллов. При ответе обучающийся может получить максимальное количество баллов: за первый вопрос – </w:t>
            </w:r>
            <w:r w:rsidRP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="00E0251A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P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E0251A" w:rsidRPr="0083440E" w:rsidRDefault="00E0251A" w:rsidP="006078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зачете </w:t>
            </w:r>
            <w:r w:rsid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обучающийся должен ответить на 2 вопроса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для промежуточной аттестации </w:t>
            </w:r>
            <w:r w:rsidR="00BD4B3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 решить 1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задач (выполнить практическое задание и т.п.).</w:t>
            </w:r>
          </w:p>
          <w:p w:rsidR="00E0251A" w:rsidRPr="0083440E" w:rsidRDefault="00E0251A" w:rsidP="00607833">
            <w:pPr>
              <w:numPr>
                <w:ilvl w:val="255"/>
                <w:numId w:val="0"/>
              </w:num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E0251A" w:rsidRPr="0083440E" w:rsidRDefault="00E0251A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077" w:rsidRDefault="00FF2327" w:rsidP="00FF232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Итоговое количество баллов по результатам промежуточной аттестации с формой контроля </w:t>
      </w:r>
      <w:r w:rsidRPr="0083440E">
        <w:rPr>
          <w:rFonts w:ascii="Times New Roman" w:eastAsia="Times New Roman" w:hAnsi="Times New Roman" w:cs="Times New Roman"/>
          <w:bCs/>
          <w:i/>
          <w:sz w:val="28"/>
          <w:szCs w:val="28"/>
          <w:lang w:eastAsia="ko-KR"/>
        </w:rPr>
        <w:t>зачет: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61 балла – не зачтено; более 61 балла – зачтено.</w:t>
      </w:r>
    </w:p>
    <w:p w:rsidR="00FF2327" w:rsidRPr="00FF2327" w:rsidRDefault="00FF2327" w:rsidP="00FF232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68185A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6818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02BBD" w:rsidRPr="0068185A" w:rsidRDefault="00F02BBD" w:rsidP="00F02BBD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81"/>
        <w:gridCol w:w="1563"/>
        <w:gridCol w:w="1276"/>
        <w:gridCol w:w="1134"/>
        <w:gridCol w:w="709"/>
        <w:gridCol w:w="1842"/>
      </w:tblGrid>
      <w:tr w:rsidR="0068185A" w:rsidRPr="0068185A" w:rsidTr="00607833">
        <w:trPr>
          <w:cantSplit/>
        </w:trPr>
        <w:tc>
          <w:tcPr>
            <w:tcW w:w="3990" w:type="dxa"/>
            <w:gridSpan w:val="2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524" w:type="dxa"/>
            <w:gridSpan w:val="5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68185A" w:rsidRPr="0068185A" w:rsidTr="00607833">
        <w:trPr>
          <w:cantSplit/>
        </w:trPr>
        <w:tc>
          <w:tcPr>
            <w:tcW w:w="3990" w:type="dxa"/>
            <w:gridSpan w:val="2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1563" w:type="dxa"/>
            <w:shd w:val="clear" w:color="auto" w:fill="auto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134" w:type="dxa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3 контр. точка (тематический блок)</w:t>
            </w:r>
          </w:p>
        </w:tc>
        <w:tc>
          <w:tcPr>
            <w:tcW w:w="709" w:type="dxa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п контр. точка (тематический блок)</w:t>
            </w:r>
          </w:p>
        </w:tc>
      </w:tr>
      <w:tr w:rsidR="0068185A" w:rsidRPr="0068185A" w:rsidTr="00607833">
        <w:trPr>
          <w:cantSplit/>
        </w:trPr>
        <w:tc>
          <w:tcPr>
            <w:tcW w:w="709" w:type="dxa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9805" w:type="dxa"/>
            <w:gridSpan w:val="6"/>
          </w:tcPr>
          <w:p w:rsidR="00E0251A" w:rsidRPr="0068185A" w:rsidRDefault="00E0251A" w:rsidP="00E02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68185A" w:rsidRPr="0068185A" w:rsidTr="00A56576">
        <w:trPr>
          <w:cantSplit/>
          <w:trHeight w:val="332"/>
        </w:trPr>
        <w:tc>
          <w:tcPr>
            <w:tcW w:w="3990" w:type="dxa"/>
            <w:gridSpan w:val="2"/>
          </w:tcPr>
          <w:p w:rsidR="00E0251A" w:rsidRPr="0068185A" w:rsidRDefault="00E0251A" w:rsidP="00E0251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681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 xml:space="preserve">Не предусмотрено </w:t>
            </w:r>
          </w:p>
        </w:tc>
        <w:tc>
          <w:tcPr>
            <w:tcW w:w="6524" w:type="dxa"/>
            <w:gridSpan w:val="5"/>
            <w:shd w:val="clear" w:color="auto" w:fill="auto"/>
          </w:tcPr>
          <w:p w:rsidR="00E0251A" w:rsidRPr="0068185A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Оценка «зачтено» выставляется на зачете обучающемуся, если: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lastRenderedPageBreak/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Компетенции или их части сформированы на базовом уровне.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Оценка «не зачтено» ставится на зачете обучающемуся, если: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FF2327" w:rsidRPr="00163AB7" w:rsidRDefault="00FF2327" w:rsidP="00FF23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8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3.3</w:t>
      </w: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18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Контрольная работа</w:t>
      </w:r>
    </w:p>
    <w:p w:rsidR="00F02BBD" w:rsidRPr="0068185A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Контрольная работа</w:t>
      </w: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818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02BBD" w:rsidRPr="0068185A" w:rsidRDefault="00F02BBD" w:rsidP="00F02B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Контрольная работа включает </w:t>
      </w:r>
      <w:r w:rsidR="0068185A"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два</w:t>
      </w:r>
      <w:r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зад</w:t>
      </w:r>
      <w:r w:rsidR="0068185A"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ания: теоретический вопрос и одно практическое задание</w:t>
      </w:r>
      <w:r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. Вариант задания для выполнения контрольной работы выбирается</w:t>
      </w:r>
      <w:r w:rsidRPr="0068185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:rsidR="00F02BBD" w:rsidRPr="0068185A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F02BBD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Первое задание</w:t>
      </w:r>
      <w:r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–</w:t>
      </w:r>
      <w:r w:rsidRPr="0068185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8185A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письменный ответ на теоретический вопр</w:t>
      </w:r>
      <w:r w:rsidR="00B91537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ос</w:t>
      </w:r>
    </w:p>
    <w:p w:rsidR="00A26233" w:rsidRPr="00A26233" w:rsidRDefault="0075752F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A26233"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Цифровизация как современная тенденция развития общества 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Цифровизация</w:t>
      </w:r>
      <w:proofErr w:type="spell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 </w:t>
      </w:r>
      <w:r w:rsidR="007575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современная технология образования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3.История становления цифрового образования в России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4.Нормативно-правовая база </w:t>
      </w:r>
      <w:proofErr w:type="spell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цифровизации</w:t>
      </w:r>
      <w:proofErr w:type="spell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5.Цифровая образовательная среда 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 Цифровые ресурсы в образовании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7. Цифровые процессы организации учебного процесса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8.цифровые процессы оценки знаний 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9.Цифровые технологии организации </w:t>
      </w:r>
      <w:proofErr w:type="gram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обучения :</w:t>
      </w:r>
      <w:proofErr w:type="gram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индивидуальная, групповая , фронтальная форма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 Цифровые технологии взаимодействия учителя с учеником 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11. Цифровые технологии взаимодействия учителя с родителями учеников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12.Цифровые технологии взаимодействия учеников с учениками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13.Цифровой контент в образовании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14.Электронные образовательные ресурсы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15.Спектр цифровых технологий: облачные вычисления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16.Спектр цифровых технологий: интернет вещи (</w:t>
      </w:r>
      <w:proofErr w:type="spell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loT</w:t>
      </w:r>
      <w:proofErr w:type="spell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17.Спектр цифровых технологий: искусственный интеллект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18.Спектр цифровых технологий: аналитика данных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19.Спектр цифровых технологий: автоматизация программного обеспечения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 Цифровые образовательные ресурсы в работе учителя-логопеда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21.Цифровые </w:t>
      </w:r>
      <w:proofErr w:type="gram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технологии  в</w:t>
      </w:r>
      <w:proofErr w:type="gram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учителя-логопеда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22 Обучение детей с ОВЗ и </w:t>
      </w:r>
      <w:proofErr w:type="gram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инвалидов  в</w:t>
      </w:r>
      <w:proofErr w:type="gram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эпоху развития цифрового образования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23. Цифровые ресурсы в обучении лиц с ОВЗ</w:t>
      </w:r>
    </w:p>
    <w:p w:rsidR="00A26233" w:rsidRPr="00A26233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24. Цифровая образовательная </w:t>
      </w:r>
      <w:proofErr w:type="gramStart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среда  лиц</w:t>
      </w:r>
      <w:proofErr w:type="gramEnd"/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ОВЗ </w:t>
      </w:r>
    </w:p>
    <w:p w:rsidR="00B91537" w:rsidRPr="0068185A" w:rsidRDefault="00A26233" w:rsidP="00A26233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623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25.Цифровизация специального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дефектологического образования</w:t>
      </w:r>
    </w:p>
    <w:p w:rsidR="00821908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Второе задание –</w:t>
      </w:r>
      <w:r w:rsidRPr="0068185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21908" w:rsidRDefault="00821908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Практическое Задание –подобрать цифровые ресурсы.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цифровые технологии в деятельности логопеда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использование цифровых ресурсов логопедом в работе с детьми с нарушением речи-заикание 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 использование цифровых ресурсов логопедом в работе с детьми с нарушением речи-дизартрия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дислалия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 использование цифровых ресурсов логопедом в работе с детьми с нарушением речи-нарушения голоса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ринолалия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 использование цифровых ресурсов логопедом в работе с детьми с нарушением речи-алалия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дисграфия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дислексия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10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сигматизме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11 использование цифровых ресурсов логопедом в работе с детьми с нарушением речи-ротацизме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12 использование цифровых ресурсов логопедом в работе с детьми с нарушением речи-</w:t>
      </w:r>
      <w:proofErr w:type="spell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лабдацизме</w:t>
      </w:r>
      <w:proofErr w:type="spellEnd"/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13 использование цифровых ресурсов логопедом в работе с детьми с нарушением речи-ОНР 1 уровня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14 использование цифровых ресурсов логопедом в работе с детьми с нарушением речи-ОНР 2 уровня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15 использование цифровых ресурсов логопедом в работе с детьми с нарушением речи-ОНР 3 уровня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16 использование цифровых ресурсов логопедом в работе с детьми с нарушением речи-ФФН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17 использование цифровых ресурсов логопедом в работе с детьми -подготовка к грамоте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18 использование цифровых ресурсов логопедом в работе с детьми -развитие связной речи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19 использование цифровых ресурсов логопедом в работе с детьми -</w:t>
      </w:r>
      <w:proofErr w:type="gramStart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развитие  грамматически</w:t>
      </w:r>
      <w:proofErr w:type="gramEnd"/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правильной речи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 использование цифровых ресурсов логопедом в работе с детьми -развитие фонематического слуха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21 использование цифровых ресурсов логопедом в работе с детьми -развитие звуковой культуры речи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22 использование цифровых ресурсов логопедом в работе с детьми -развитие речевого творчества 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23 использование цифровых ресурсов логопедом в работе с детьми - развитие монологической речи</w:t>
      </w:r>
    </w:p>
    <w:p w:rsidR="00821908" w:rsidRPr="00821908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24 использование цифровых ресурсов логопедом в работе с детьми - развитие диалогической речи</w:t>
      </w:r>
    </w:p>
    <w:p w:rsidR="00F02BBD" w:rsidRPr="0068185A" w:rsidRDefault="00821908" w:rsidP="0082190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90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25 использование цифровых ресурсов логопедом в работе с детьми -литературного образования</w:t>
      </w:r>
      <w:r w:rsidR="00F02BBD" w:rsidRPr="0068185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02BBD" w:rsidRPr="00790077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02BBD" w:rsidRPr="0068185A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</w:rPr>
      </w:pPr>
      <w:r w:rsidRPr="00681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2BBD" w:rsidRPr="0068185A" w:rsidRDefault="00F02BBD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8185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Перечень вопросов для контрольной работы:</w:t>
      </w:r>
    </w:p>
    <w:p w:rsidR="00F02BBD" w:rsidRPr="0068185A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02BBD" w:rsidRPr="0068185A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18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420"/>
        <w:gridCol w:w="4902"/>
        <w:gridCol w:w="2171"/>
      </w:tblGrid>
      <w:tr w:rsidR="0068185A" w:rsidRPr="0068185A" w:rsidTr="00380C0E">
        <w:trPr>
          <w:trHeight w:val="495"/>
        </w:trPr>
        <w:tc>
          <w:tcPr>
            <w:tcW w:w="2547" w:type="dxa"/>
          </w:tcPr>
          <w:p w:rsidR="00F02BBD" w:rsidRPr="0068185A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</w:rPr>
              <w:t>Критерий</w:t>
            </w:r>
          </w:p>
        </w:tc>
        <w:tc>
          <w:tcPr>
            <w:tcW w:w="5386" w:type="dxa"/>
          </w:tcPr>
          <w:p w:rsidR="00F02BBD" w:rsidRPr="0068185A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</w:rPr>
              <w:t>Показатель</w:t>
            </w:r>
          </w:p>
        </w:tc>
        <w:tc>
          <w:tcPr>
            <w:tcW w:w="1560" w:type="dxa"/>
          </w:tcPr>
          <w:p w:rsidR="00F02BBD" w:rsidRPr="0068185A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</w:rPr>
              <w:t xml:space="preserve">Максимальное </w:t>
            </w:r>
            <w:proofErr w:type="spellStart"/>
            <w:r w:rsidRPr="0068185A">
              <w:rPr>
                <w:rFonts w:ascii="Times New Roman" w:eastAsia="Calibri" w:hAnsi="Times New Roman" w:cs="Times New Roman"/>
                <w:color w:val="000000" w:themeColor="text1"/>
              </w:rPr>
              <w:t>колич</w:t>
            </w:r>
            <w:proofErr w:type="spellEnd"/>
            <w:r w:rsidRPr="0068185A">
              <w:rPr>
                <w:rFonts w:ascii="Times New Roman" w:eastAsia="Calibri" w:hAnsi="Times New Roman" w:cs="Times New Roman"/>
                <w:color w:val="000000" w:themeColor="text1"/>
              </w:rPr>
              <w:t>. баллов</w:t>
            </w:r>
          </w:p>
        </w:tc>
      </w:tr>
      <w:tr w:rsidR="0068185A" w:rsidRPr="0068185A" w:rsidTr="00380C0E">
        <w:tc>
          <w:tcPr>
            <w:tcW w:w="2547" w:type="dxa"/>
          </w:tcPr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 Степень раскрытия сущности вопроса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соответствие содержания теме вопроса;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F02BBD" w:rsidRPr="0068185A" w:rsidRDefault="0068185A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68185A" w:rsidRPr="0068185A" w:rsidTr="00380C0E">
        <w:tc>
          <w:tcPr>
            <w:tcW w:w="2547" w:type="dxa"/>
          </w:tcPr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соблюдение требований к объему;</w:t>
            </w:r>
          </w:p>
          <w:p w:rsidR="00F02BBD" w:rsidRPr="0068185A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18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F02BBD" w:rsidRPr="0068185A" w:rsidRDefault="0068185A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образования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дисциплине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</w:t>
      </w:r>
      <w:r w:rsidRPr="002C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</w:t>
      </w:r>
      <w:r w:rsidR="00693D1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вых заданий по дисциплине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693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 (для </w:t>
      </w:r>
      <w:proofErr w:type="spellStart"/>
      <w:r w:rsidR="00693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бакалавриата</w:t>
      </w:r>
      <w:proofErr w:type="spellEnd"/>
      <w:r w:rsidR="00693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</w:t>
      </w:r>
      <w:r w:rsidR="00693D1D">
        <w:rPr>
          <w:rFonts w:ascii="Times New Roman" w:hAnsi="Times New Roman" w:cs="Times New Roman"/>
          <w:sz w:val="28"/>
          <w:szCs w:val="28"/>
        </w:rPr>
        <w:t>25</w:t>
      </w:r>
      <w:r w:rsidRPr="002279C5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</w:t>
      </w:r>
      <w:r w:rsidR="00693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25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</w:t>
      </w:r>
      <w:r w:rsidR="009A52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вания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обучающимся отводится не </w:t>
      </w: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более  40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F02BB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цифрового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</w:t>
      </w:r>
    </w:p>
    <w:p w:rsidR="000C3BCD" w:rsidRPr="0083440E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Нормативно-правовая база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в России</w:t>
      </w:r>
    </w:p>
    <w:p w:rsidR="00F02BB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становления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</w:p>
    <w:p w:rsidR="000C3BCD" w:rsidRPr="0083440E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технологии в образовании</w:t>
      </w:r>
    </w:p>
    <w:p w:rsidR="00F02BB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Цифровые образовательные ресурсы, их особенности </w:t>
      </w:r>
    </w:p>
    <w:p w:rsidR="000C3BC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контент в образовании</w:t>
      </w:r>
    </w:p>
    <w:p w:rsidR="000C3BC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Цифровая образовательная среда</w:t>
      </w:r>
    </w:p>
    <w:p w:rsidR="000C3BC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Электронные библиотечные системы в организации логопедической службы </w:t>
      </w:r>
    </w:p>
    <w:p w:rsidR="000C3BCD" w:rsidRDefault="000C3BCD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Возможности цифровых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организации совместной и индивидуальной образовательной деятельности учащихся</w:t>
      </w:r>
    </w:p>
    <w:p w:rsidR="000C3BCD" w:rsidRDefault="004E2903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процессы оценки знаний</w:t>
      </w:r>
    </w:p>
    <w:p w:rsidR="004E2903" w:rsidRDefault="004E2903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технологии взаимодействия логопеда, родителей и детей.</w:t>
      </w:r>
    </w:p>
    <w:p w:rsidR="004E2903" w:rsidRPr="0083440E" w:rsidRDefault="004E2903" w:rsidP="00F02BBD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Цифровые процессы организации учебного процесса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зачета</w:t>
      </w:r>
      <w:r w:rsidR="0079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Устный вопрос </w:t>
      </w:r>
      <w:r w:rsidR="00990B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билета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</w:t>
      </w:r>
      <w:proofErr w:type="gramStart"/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компетенций</w:t>
      </w:r>
      <w:proofErr w:type="gramEnd"/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на промежуточной аттестации по данной дисциплине, применяются вопросы к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зачету</w:t>
      </w:r>
      <w:r w:rsidR="00990BB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 оценкой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</w:p>
    <w:p w:rsidR="00810297" w:rsidRPr="00810297" w:rsidRDefault="00F02BBD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Вопросы к зачету:</w:t>
      </w:r>
      <w:r w:rsidR="00810297" w:rsidRPr="00810297">
        <w:t xml:space="preserve"> </w:t>
      </w:r>
      <w:r w:rsidR="00810297"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технологии в деятельности логопеда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использование цифровых ресурсов логопедом в работе с детьми с нарушением речи-заикание 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3 использование цифровых ресурсов логопедом в работе с детьми с нарушением речи-дизартрия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4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дислалия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5 использование цифровых ресурсов логопедом в работе с детьми с нарушением речи-нарушения голоса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ринолалия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7 использование цифровых ресурсов логопедом в работе с детьми с нарушением речи-алалия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8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дисграфия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9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дислексия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10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сигматизме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11 использование цифровых ресурсов логопедом в работе с детьми с нарушением речи-ротацизме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12 использование цифровых ресурсов логопедом в работе с детьми с нарушением речи-</w:t>
      </w:r>
      <w:proofErr w:type="spell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лабдацизме</w:t>
      </w:r>
      <w:proofErr w:type="spellEnd"/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13 использование цифровых ресурсов логопедом в работе с детьми с нарушением речи-ОНР 1 уровня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использование цифровых ресурсов логопедом в работе с детьми с нарушением речи-ОНР 2 уровня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использование цифровых ресурсов логопедом в работе с детьми с нарушением речи-ОНР 3 уровня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16 использование цифровых ресурсов логопедом в работе с детьми с нарушением речи-ФФН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17 использование цифровых ресурсов логопедом в работе с детьми -подготовка к грамоте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18 использование цифровых ресурсов логопедом в работе с детьми -развитие связной речи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использование цифровых ресурсов логопедом в работе с детьми -</w:t>
      </w:r>
      <w:proofErr w:type="gramStart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грамматически</w:t>
      </w:r>
      <w:proofErr w:type="gramEnd"/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правильной речи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20 использование цифровых ресурсов логопедом в работе с детьми -развитие фонематического слуха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21 использование цифровых ресурсов логопедом в работе с детьми -развитие звуковой культуры речи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использование цифровых ресурсов логопедом в работе с детьми -развитие речевого творчества 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23 использование цифровых ресурсов логопедом в работе с детьми - развитие монологической речи</w:t>
      </w:r>
    </w:p>
    <w:p w:rsidR="00810297" w:rsidRPr="00810297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использование цифровых ресурсов логопедом в работе с детьми - развитие диалогической речи</w:t>
      </w:r>
    </w:p>
    <w:p w:rsidR="00F02BBD" w:rsidRPr="0083440E" w:rsidRDefault="00810297" w:rsidP="008102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97">
        <w:rPr>
          <w:rFonts w:ascii="Times New Roman" w:eastAsia="Times New Roman" w:hAnsi="Times New Roman" w:cs="Times New Roman"/>
          <w:sz w:val="28"/>
          <w:szCs w:val="28"/>
          <w:lang w:eastAsia="ru-RU"/>
        </w:rPr>
        <w:t>25 использование цифровых ресурсов логопедом в работе с детьми -литературного образования</w:t>
      </w:r>
    </w:p>
    <w:p w:rsidR="00F02BBD" w:rsidRPr="0083440E" w:rsidRDefault="00F02BBD" w:rsidP="008102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зачетного билета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</w:t>
      </w:r>
      <w:r w:rsidRPr="009A5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A5286" w:rsidRPr="009A5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100</w:t>
      </w:r>
      <w:r w:rsidRPr="009A5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9A5286" w:rsidRPr="009A5286">
        <w:rPr>
          <w:rFonts w:ascii="Times New Roman" w:eastAsia="Times New Roman" w:hAnsi="Times New Roman" w:cs="Times New Roman"/>
          <w:sz w:val="28"/>
          <w:szCs w:val="28"/>
        </w:rPr>
        <w:t>91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9A5286" w:rsidRPr="009A5286">
        <w:rPr>
          <w:rFonts w:ascii="Times New Roman" w:eastAsia="Times New Roman" w:hAnsi="Times New Roman" w:cs="Times New Roman"/>
          <w:sz w:val="28"/>
          <w:szCs w:val="28"/>
        </w:rPr>
        <w:t>76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9A5286" w:rsidRPr="009A5286">
        <w:rPr>
          <w:rFonts w:ascii="Times New Roman" w:eastAsia="Times New Roman" w:hAnsi="Times New Roman" w:cs="Times New Roman"/>
          <w:sz w:val="28"/>
          <w:szCs w:val="28"/>
        </w:rPr>
        <w:t>61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6E364B" w:rsidRDefault="00F02BBD" w:rsidP="006E364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 </w:t>
      </w:r>
      <w:r w:rsidR="0099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билета по дисциплине «</w:t>
      </w:r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 цифрового </w:t>
      </w:r>
      <w:proofErr w:type="gramStart"/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:Логопедия</w:t>
      </w:r>
      <w:proofErr w:type="gramEnd"/>
      <w:r w:rsidR="006E364B"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»</w:t>
      </w:r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83440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999E888" wp14:editId="507AA988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BD" w:rsidRPr="0083440E" w:rsidRDefault="00F02BBD" w:rsidP="00F02BBD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   </w:t>
      </w:r>
    </w:p>
    <w:p w:rsidR="00F02BBD" w:rsidRPr="0083440E" w:rsidRDefault="00990BB7" w:rsidP="00F02BBD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lang w:eastAsia="ru-RU"/>
        </w:rPr>
        <w:t>ЗАЧЕТ</w:t>
      </w:r>
      <w:r w:rsidR="00F02BBD"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НЫЙ  БИЛЕТ</w:t>
      </w:r>
      <w:proofErr w:type="gramEnd"/>
      <w:r w:rsidR="00F02BBD"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№ 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</w:t>
      </w:r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_/20</w:t>
      </w:r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bookmarkStart w:id="0" w:name="_GoBack"/>
      <w:bookmarkEnd w:id="0"/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учебный год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</w:t>
      </w:r>
      <w:r w:rsidR="00876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proofErr w:type="gramEnd"/>
      <w:r w:rsidR="00876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цифрового образования :Логопедия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w w:val="95"/>
          <w:sz w:val="28"/>
          <w:lang w:eastAsia="ru-RU"/>
        </w:rPr>
      </w:pPr>
    </w:p>
    <w:p w:rsidR="00F02BBD" w:rsidRPr="006E364B" w:rsidRDefault="00876EF9" w:rsidP="00F02BB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Цифровизация</w:t>
      </w:r>
      <w:proofErr w:type="spellEnd"/>
      <w:r w:rsidRP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</w:t>
      </w:r>
      <w:r w:rsidR="00F02BBD" w:rsidRP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proofErr w:type="gramEnd"/>
      <w:r w:rsidR="006E3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современная технология</w:t>
      </w:r>
    </w:p>
    <w:p w:rsidR="00F02BBD" w:rsidRPr="0083440E" w:rsidRDefault="00876EF9" w:rsidP="00F02BB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Использование цифровых ресурсов в коррекции нарушений речи -дизартрии</w:t>
      </w:r>
    </w:p>
    <w:p w:rsidR="00F02BBD" w:rsidRPr="0083440E" w:rsidRDefault="00F02BBD" w:rsidP="009A5286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2BBD" w:rsidRPr="0083440E" w:rsidRDefault="00F02BBD" w:rsidP="00F02BBD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 xml:space="preserve">20__/20__уч. год   _________   ____________              20__/20__уч.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год  _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_______    __________ 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 xml:space="preserve">20__/20__уч. год   _________   ____________              20__/20__уч.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год  _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_______    ____________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:rsidR="007B4771" w:rsidRPr="007B4771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</w:t>
      </w:r>
    </w:p>
    <w:sectPr w:rsidR="007B4771" w:rsidRPr="007B4771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D5C" w:rsidRDefault="00917D5C" w:rsidP="0083440E">
      <w:pPr>
        <w:spacing w:after="0" w:line="240" w:lineRule="auto"/>
      </w:pPr>
      <w:r>
        <w:separator/>
      </w:r>
    </w:p>
  </w:endnote>
  <w:endnote w:type="continuationSeparator" w:id="0">
    <w:p w:rsidR="00917D5C" w:rsidRDefault="00917D5C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D5C" w:rsidRDefault="00917D5C" w:rsidP="0083440E">
      <w:pPr>
        <w:spacing w:after="0" w:line="240" w:lineRule="auto"/>
      </w:pPr>
      <w:r>
        <w:separator/>
      </w:r>
    </w:p>
  </w:footnote>
  <w:footnote w:type="continuationSeparator" w:id="0">
    <w:p w:rsidR="00917D5C" w:rsidRDefault="00917D5C" w:rsidP="0083440E">
      <w:pPr>
        <w:spacing w:after="0" w:line="240" w:lineRule="auto"/>
      </w:pPr>
      <w:r>
        <w:continuationSeparator/>
      </w:r>
    </w:p>
  </w:footnote>
  <w:footnote w:id="1">
    <w:p w:rsidR="00F02BBD" w:rsidRDefault="00F02BBD" w:rsidP="00F02BBD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2">
    <w:p w:rsidR="00F02BBD" w:rsidRDefault="00F02BBD" w:rsidP="00F02BBD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3">
    <w:p w:rsidR="00F02BBD" w:rsidRDefault="00F02BBD" w:rsidP="00F02BBD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4">
    <w:p w:rsidR="00F02BBD" w:rsidRDefault="00F02BBD" w:rsidP="00F02BBD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6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6A647EC"/>
    <w:multiLevelType w:val="hybridMultilevel"/>
    <w:tmpl w:val="57AE0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7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5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8"/>
  </w:num>
  <w:num w:numId="10">
    <w:abstractNumId w:val="30"/>
  </w:num>
  <w:num w:numId="11">
    <w:abstractNumId w:val="28"/>
  </w:num>
  <w:num w:numId="12">
    <w:abstractNumId w:val="19"/>
  </w:num>
  <w:num w:numId="13">
    <w:abstractNumId w:val="11"/>
  </w:num>
  <w:num w:numId="14">
    <w:abstractNumId w:val="26"/>
  </w:num>
  <w:num w:numId="15">
    <w:abstractNumId w:val="2"/>
  </w:num>
  <w:num w:numId="16">
    <w:abstractNumId w:val="16"/>
  </w:num>
  <w:num w:numId="17">
    <w:abstractNumId w:val="18"/>
  </w:num>
  <w:num w:numId="18">
    <w:abstractNumId w:val="14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5"/>
  </w:num>
  <w:num w:numId="24">
    <w:abstractNumId w:val="15"/>
  </w:num>
  <w:num w:numId="25">
    <w:abstractNumId w:val="27"/>
  </w:num>
  <w:num w:numId="26">
    <w:abstractNumId w:val="21"/>
  </w:num>
  <w:num w:numId="27">
    <w:abstractNumId w:val="13"/>
  </w:num>
  <w:num w:numId="28">
    <w:abstractNumId w:val="33"/>
  </w:num>
  <w:num w:numId="29">
    <w:abstractNumId w:val="37"/>
  </w:num>
  <w:num w:numId="30">
    <w:abstractNumId w:val="20"/>
  </w:num>
  <w:num w:numId="31">
    <w:abstractNumId w:val="9"/>
  </w:num>
  <w:num w:numId="32">
    <w:abstractNumId w:val="29"/>
  </w:num>
  <w:num w:numId="33">
    <w:abstractNumId w:val="5"/>
  </w:num>
  <w:num w:numId="34">
    <w:abstractNumId w:val="32"/>
  </w:num>
  <w:num w:numId="35">
    <w:abstractNumId w:val="22"/>
  </w:num>
  <w:num w:numId="36">
    <w:abstractNumId w:val="17"/>
  </w:num>
  <w:num w:numId="37">
    <w:abstractNumId w:val="2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362F"/>
    <w:rsid w:val="0001752B"/>
    <w:rsid w:val="0003317D"/>
    <w:rsid w:val="000C3BCD"/>
    <w:rsid w:val="000D7183"/>
    <w:rsid w:val="000E4D2F"/>
    <w:rsid w:val="000E6DB8"/>
    <w:rsid w:val="00122929"/>
    <w:rsid w:val="00124B2D"/>
    <w:rsid w:val="00153ED6"/>
    <w:rsid w:val="00154D07"/>
    <w:rsid w:val="00164777"/>
    <w:rsid w:val="001A1CDC"/>
    <w:rsid w:val="001A5227"/>
    <w:rsid w:val="001B5344"/>
    <w:rsid w:val="001B78E0"/>
    <w:rsid w:val="001E0957"/>
    <w:rsid w:val="001E114B"/>
    <w:rsid w:val="001E589D"/>
    <w:rsid w:val="001E7D7E"/>
    <w:rsid w:val="00225168"/>
    <w:rsid w:val="0026163E"/>
    <w:rsid w:val="002A3AB9"/>
    <w:rsid w:val="002B21B2"/>
    <w:rsid w:val="002D24F0"/>
    <w:rsid w:val="00303B61"/>
    <w:rsid w:val="00316E2C"/>
    <w:rsid w:val="003446E9"/>
    <w:rsid w:val="00362A09"/>
    <w:rsid w:val="00396480"/>
    <w:rsid w:val="003B0A45"/>
    <w:rsid w:val="003B441A"/>
    <w:rsid w:val="003C1ED9"/>
    <w:rsid w:val="003C2B05"/>
    <w:rsid w:val="003D2974"/>
    <w:rsid w:val="003E20E6"/>
    <w:rsid w:val="003E70A9"/>
    <w:rsid w:val="00400BDA"/>
    <w:rsid w:val="0040376F"/>
    <w:rsid w:val="00412146"/>
    <w:rsid w:val="004158F8"/>
    <w:rsid w:val="00422730"/>
    <w:rsid w:val="00447A57"/>
    <w:rsid w:val="00460725"/>
    <w:rsid w:val="004B571B"/>
    <w:rsid w:val="004C7B7D"/>
    <w:rsid w:val="004E15E1"/>
    <w:rsid w:val="004E2903"/>
    <w:rsid w:val="005059A2"/>
    <w:rsid w:val="0052573A"/>
    <w:rsid w:val="005662A9"/>
    <w:rsid w:val="00571EF3"/>
    <w:rsid w:val="00576416"/>
    <w:rsid w:val="005840DE"/>
    <w:rsid w:val="00585D64"/>
    <w:rsid w:val="005951D2"/>
    <w:rsid w:val="005D106E"/>
    <w:rsid w:val="005F775B"/>
    <w:rsid w:val="00613036"/>
    <w:rsid w:val="00613556"/>
    <w:rsid w:val="00631779"/>
    <w:rsid w:val="0068185A"/>
    <w:rsid w:val="00693D1D"/>
    <w:rsid w:val="006B4EE7"/>
    <w:rsid w:val="006E364B"/>
    <w:rsid w:val="006F5BC0"/>
    <w:rsid w:val="00705CCF"/>
    <w:rsid w:val="00706D13"/>
    <w:rsid w:val="0075752F"/>
    <w:rsid w:val="00773CEC"/>
    <w:rsid w:val="00774CC2"/>
    <w:rsid w:val="00790077"/>
    <w:rsid w:val="007B4771"/>
    <w:rsid w:val="007D700F"/>
    <w:rsid w:val="00810297"/>
    <w:rsid w:val="00820532"/>
    <w:rsid w:val="00821908"/>
    <w:rsid w:val="00822C38"/>
    <w:rsid w:val="00830066"/>
    <w:rsid w:val="0083440E"/>
    <w:rsid w:val="008531B6"/>
    <w:rsid w:val="00876EF9"/>
    <w:rsid w:val="008C70DA"/>
    <w:rsid w:val="008D3DCB"/>
    <w:rsid w:val="008D64B9"/>
    <w:rsid w:val="008E37D6"/>
    <w:rsid w:val="00917815"/>
    <w:rsid w:val="00917D5C"/>
    <w:rsid w:val="00990BB7"/>
    <w:rsid w:val="00990C8D"/>
    <w:rsid w:val="009A4DA1"/>
    <w:rsid w:val="009A5286"/>
    <w:rsid w:val="009D1090"/>
    <w:rsid w:val="009E2D8E"/>
    <w:rsid w:val="00A02C3B"/>
    <w:rsid w:val="00A033E9"/>
    <w:rsid w:val="00A043CF"/>
    <w:rsid w:val="00A26233"/>
    <w:rsid w:val="00A2653F"/>
    <w:rsid w:val="00A7150D"/>
    <w:rsid w:val="00A73975"/>
    <w:rsid w:val="00A749A7"/>
    <w:rsid w:val="00A829F5"/>
    <w:rsid w:val="00A934FE"/>
    <w:rsid w:val="00AA7684"/>
    <w:rsid w:val="00AB3F20"/>
    <w:rsid w:val="00B31F54"/>
    <w:rsid w:val="00B5003E"/>
    <w:rsid w:val="00B5320A"/>
    <w:rsid w:val="00B55571"/>
    <w:rsid w:val="00B62DAE"/>
    <w:rsid w:val="00B90C96"/>
    <w:rsid w:val="00B91537"/>
    <w:rsid w:val="00BA4B1D"/>
    <w:rsid w:val="00BD0EA7"/>
    <w:rsid w:val="00BD4B33"/>
    <w:rsid w:val="00BF1A70"/>
    <w:rsid w:val="00C211B0"/>
    <w:rsid w:val="00C540A2"/>
    <w:rsid w:val="00C879D5"/>
    <w:rsid w:val="00CA0415"/>
    <w:rsid w:val="00CD6EEB"/>
    <w:rsid w:val="00D12A00"/>
    <w:rsid w:val="00D53DBB"/>
    <w:rsid w:val="00D66166"/>
    <w:rsid w:val="00D7484D"/>
    <w:rsid w:val="00DB3582"/>
    <w:rsid w:val="00DF7748"/>
    <w:rsid w:val="00E0251A"/>
    <w:rsid w:val="00E10ADA"/>
    <w:rsid w:val="00E113FB"/>
    <w:rsid w:val="00E4444B"/>
    <w:rsid w:val="00E4477A"/>
    <w:rsid w:val="00EA1554"/>
    <w:rsid w:val="00EA452C"/>
    <w:rsid w:val="00F02BBD"/>
    <w:rsid w:val="00F25602"/>
    <w:rsid w:val="00F35D5E"/>
    <w:rsid w:val="00F52F63"/>
    <w:rsid w:val="00F53FAF"/>
    <w:rsid w:val="00F646B5"/>
    <w:rsid w:val="00F76438"/>
    <w:rsid w:val="00FA179A"/>
    <w:rsid w:val="00FE1D57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15</Pages>
  <Words>3877</Words>
  <Characters>22103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Дудникова Светлана Александровна</cp:lastModifiedBy>
  <cp:revision>32</cp:revision>
  <cp:lastPrinted>2023-05-15T08:01:00Z</cp:lastPrinted>
  <dcterms:created xsi:type="dcterms:W3CDTF">2024-02-19T11:54:00Z</dcterms:created>
  <dcterms:modified xsi:type="dcterms:W3CDTF">2025-02-09T19:53:00Z</dcterms:modified>
</cp:coreProperties>
</file>